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Calibri" w:cs="Calibri" w:eastAsia="Calibri" w:hAnsi="Calibri"/>
          <w:b/>
          <w:bCs/>
          <w:color w:val="122344"/>
          <w:sz w:val="30"/>
          <w:szCs w:val="30"/>
        </w:rPr>
        <w:t xml:space="preserve">GeM Registration Document Checklist</w:t>
      </w:r>
    </w:p>
    <w:p>
      <w:pPr>
        <w:spacing w:after="120" w:before="0"/>
      </w:pPr>
      <w:r>
        <w:rPr>
          <w:rFonts w:ascii="Calibri" w:cs="Calibri" w:eastAsia="Calibri" w:hAnsi="Calibri"/>
          <w:b/>
          <w:bCs/>
          <w:color w:val="C4650A"/>
          <w:sz w:val="18"/>
          <w:szCs w:val="18"/>
        </w:rPr>
        <w:t xml:space="preserve">Everything the portal asks for, in the order it asks</w:t>
      </w:r>
    </w:p>
    <w:p>
      <w:pPr>
        <w:pBdr>
          <w:bottom w:val="single" w:color="F0800E" w:sz="12"/>
        </w:pBdr>
        <w:spacing w:after="200" w:before="60"/>
      </w:pPr>
      <w:r>
        <w:rPr>
          <w:sz w:val="2"/>
          <w:szCs w:val="2"/>
        </w:rPr>
        <w:t xml:space="preserve"/>
      </w:r>
    </w:p>
    <w:p>
      <w:pPr>
        <w:spacing w:after="200" w:before="0"/>
      </w:pPr>
      <w:r>
        <w:rPr>
          <w:rFonts w:ascii="Calibri" w:cs="Calibri" w:eastAsia="Calibri" w:hAnsi="Calibri"/>
          <w:color w:val="43536E"/>
          <w:sz w:val="20"/>
          <w:szCs w:val="20"/>
        </w:rPr>
        <w:t xml:space="preserve">Most failed GeM registrations are not rejected — they are abandoned halfway because a document did not match. Work through this before you open the portal. With the full set ready, registration typically takes three to seven working days.</w:t>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Do this first: the name match</w:t>
            </w:r>
          </w:p>
          <w:p>
            <w:pPr>
              <w:spacing w:after="0" w:before="0"/>
            </w:pPr>
            <w:r>
              <w:rPr>
                <w:rFonts w:ascii="Calibri" w:cs="Calibri" w:eastAsia="Calibri" w:hAnsi="Calibri"/>
                <w:color w:val="43536E"/>
                <w:sz w:val="18"/>
                <w:szCs w:val="18"/>
              </w:rPr>
              <w:t xml:space="preserve">Your PAN, GST and bank records must agree on legal name and constitution exactly. Write the legal name as printed on the PAN, then compare it character by character with the GST certificate and the bank account name. Where they differ, correct the underlying record before you begin — this single mismatch blocks more registrations than everything else combined.</w:t>
            </w:r>
          </w:p>
        </w:tc>
      </w:tr>
    </w:tbl>
    <w:p>
      <w:pPr>
        <w:spacing w:after="160"/>
      </w:pPr>
      <w:r>
        <w:rPr>
          <w:sz w:val="12"/>
          <w:szCs w:val="12"/>
        </w:rPr>
        <w:t xml:space="preserve"/>
      </w:r>
    </w:p>
    <w:p>
      <w:pPr>
        <w:spacing w:after="120" w:before="260"/>
      </w:pPr>
      <w:r>
        <w:rPr>
          <w:rFonts w:ascii="Calibri" w:cs="Calibri" w:eastAsia="Calibri" w:hAnsi="Calibri"/>
          <w:b/>
          <w:bCs/>
          <w:color w:val="122344"/>
          <w:sz w:val="22"/>
          <w:szCs w:val="22"/>
        </w:rPr>
        <w:t xml:space="preserve">1. Identity and constitution</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700"/>
        <w:gridCol w:w="4200"/>
        <w:gridCol w:w="1600"/>
        <w:gridCol w:w="3138"/>
      </w:tblGrid>
      <w:tr>
        <w:trPr>
          <w:tblHeader/>
        </w:trPr>
        <w:tc>
          <w:tcPr>
            <w:tcW w:type="dxa" w:w="7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w:t>
            </w:r>
          </w:p>
        </w:tc>
        <w:tc>
          <w:tcPr>
            <w:tcW w:type="dxa" w:w="42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Document</w:t>
            </w:r>
          </w:p>
        </w:tc>
        <w:tc>
          <w:tcPr>
            <w:tcW w:type="dxa" w:w="16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Held? (Y/N)</w:t>
            </w:r>
          </w:p>
        </w:tc>
        <w:tc>
          <w:tcPr>
            <w:tcW w:type="dxa" w:w="31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Notes</w:t>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PAN of the registering entity</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Constitution proof (see the constitution-wise table below)</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Identity proof of the authorised person</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Address proof of the authorised person</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Proof of registered office address</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bl>
    <w:p>
      <w:pPr>
        <w:spacing w:after="120" w:before="260"/>
      </w:pPr>
      <w:r>
        <w:rPr>
          <w:rFonts w:ascii="Calibri" w:cs="Calibri" w:eastAsia="Calibri" w:hAnsi="Calibri"/>
          <w:b/>
          <w:bCs/>
          <w:color w:val="122344"/>
          <w:sz w:val="22"/>
          <w:szCs w:val="22"/>
        </w:rPr>
        <w:t xml:space="preserve">2. Tax</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700"/>
        <w:gridCol w:w="4200"/>
        <w:gridCol w:w="1600"/>
        <w:gridCol w:w="3138"/>
      </w:tblGrid>
      <w:tr>
        <w:trPr>
          <w:tblHeader/>
        </w:trPr>
        <w:tc>
          <w:tcPr>
            <w:tcW w:type="dxa" w:w="7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w:t>
            </w:r>
          </w:p>
        </w:tc>
        <w:tc>
          <w:tcPr>
            <w:tcW w:type="dxa" w:w="42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Document</w:t>
            </w:r>
          </w:p>
        </w:tc>
        <w:tc>
          <w:tcPr>
            <w:tcW w:type="dxa" w:w="16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Held? (Y/N)</w:t>
            </w:r>
          </w:p>
        </w:tc>
        <w:tc>
          <w:tcPr>
            <w:tcW w:type="dxa" w:w="31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Notes</w:t>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GST registration certificate, where applicable</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Recent GST returns, if turnover will be claimed</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Latest income tax return, if turnover will be claimed</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bl>
    <w:p>
      <w:pPr>
        <w:spacing w:after="120" w:before="260"/>
      </w:pPr>
      <w:r>
        <w:rPr>
          <w:rFonts w:ascii="Calibri" w:cs="Calibri" w:eastAsia="Calibri" w:hAnsi="Calibri"/>
          <w:b/>
          <w:bCs/>
          <w:color w:val="122344"/>
          <w:sz w:val="22"/>
          <w:szCs w:val="22"/>
        </w:rPr>
        <w:t xml:space="preserve">3. Banking</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700"/>
        <w:gridCol w:w="4200"/>
        <w:gridCol w:w="1600"/>
        <w:gridCol w:w="3138"/>
      </w:tblGrid>
      <w:tr>
        <w:trPr>
          <w:tblHeader/>
        </w:trPr>
        <w:tc>
          <w:tcPr>
            <w:tcW w:type="dxa" w:w="7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w:t>
            </w:r>
          </w:p>
        </w:tc>
        <w:tc>
          <w:tcPr>
            <w:tcW w:type="dxa" w:w="42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Document</w:t>
            </w:r>
          </w:p>
        </w:tc>
        <w:tc>
          <w:tcPr>
            <w:tcW w:type="dxa" w:w="16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Held? (Y/N)</w:t>
            </w:r>
          </w:p>
        </w:tc>
        <w:tc>
          <w:tcPr>
            <w:tcW w:type="dxa" w:w="31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Notes</w:t>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Bank account held in the entity’s name</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Cancelled cheque or bank statement showing the account name</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IFSC and branch details</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bl>
    <w:p>
      <w:pPr>
        <w:spacing w:after="120" w:before="260"/>
      </w:pPr>
      <w:r>
        <w:rPr>
          <w:rFonts w:ascii="Calibri" w:cs="Calibri" w:eastAsia="Calibri" w:hAnsi="Calibri"/>
          <w:b/>
          <w:bCs/>
          <w:color w:val="122344"/>
          <w:sz w:val="22"/>
          <w:szCs w:val="22"/>
        </w:rPr>
        <w:t xml:space="preserve">4. Status registrations (if you hold them)</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700"/>
        <w:gridCol w:w="4200"/>
        <w:gridCol w:w="1600"/>
        <w:gridCol w:w="3138"/>
      </w:tblGrid>
      <w:tr>
        <w:trPr>
          <w:tblHeader/>
        </w:trPr>
        <w:tc>
          <w:tcPr>
            <w:tcW w:type="dxa" w:w="7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w:t>
            </w:r>
          </w:p>
        </w:tc>
        <w:tc>
          <w:tcPr>
            <w:tcW w:type="dxa" w:w="42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Document</w:t>
            </w:r>
          </w:p>
        </w:tc>
        <w:tc>
          <w:tcPr>
            <w:tcW w:type="dxa" w:w="16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Held? (Y/N)</w:t>
            </w:r>
          </w:p>
        </w:tc>
        <w:tc>
          <w:tcPr>
            <w:tcW w:type="dxa" w:w="31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Notes</w:t>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Udyam registration certificate, for MSME benefits</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Startup recognition certificate, if applicable</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Make in India / local content supporting records</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bl>
    <w:p>
      <w:r>
        <w:br w:type="page"/>
      </w:r>
    </w:p>
    <w:p>
      <w:pPr>
        <w:spacing w:after="120" w:before="260"/>
      </w:pPr>
      <w:r>
        <w:rPr>
          <w:rFonts w:ascii="Calibri" w:cs="Calibri" w:eastAsia="Calibri" w:hAnsi="Calibri"/>
          <w:b/>
          <w:bCs/>
          <w:color w:val="122344"/>
          <w:sz w:val="22"/>
          <w:szCs w:val="22"/>
        </w:rPr>
        <w:t xml:space="preserve">5. Constitution-wise notes</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2400"/>
        <w:gridCol w:w="3400"/>
        <w:gridCol w:w="3838"/>
      </w:tblGrid>
      <w:tr>
        <w:trPr>
          <w:tblHeader/>
        </w:trPr>
        <w:tc>
          <w:tcPr>
            <w:tcW w:type="dxa" w:w="24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Constitution</w:t>
            </w:r>
          </w:p>
        </w:tc>
        <w:tc>
          <w:tcPr>
            <w:tcW w:type="dxa" w:w="34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Additional documents</w:t>
            </w:r>
          </w:p>
        </w:tc>
        <w:tc>
          <w:tcPr>
            <w:tcW w:type="dxa" w:w="38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Most common blocker</w:t>
            </w:r>
          </w:p>
        </w:tc>
      </w:tr>
      <w:tr>
        <w:tc>
          <w:tcPr>
            <w:tcW w:type="dxa" w:w="2400"/>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Proprietorship</w:t>
            </w:r>
          </w:p>
        </w:tc>
        <w:tc>
          <w:tcPr>
            <w:tcW w:type="dxa" w:w="34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Proprietor’s PAN and Aadhaar; proof the business is a proprietorship</w:t>
            </w:r>
          </w:p>
        </w:tc>
        <w:tc>
          <w:tcPr>
            <w:tcW w:type="dxa" w:w="38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PAN is in the individual’s name while GST and bank are in the trade name</w:t>
            </w:r>
          </w:p>
        </w:tc>
      </w:tr>
      <w:tr>
        <w:tc>
          <w:tcPr>
            <w:tcW w:type="dxa" w:w="2400"/>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Partnership</w:t>
            </w:r>
          </w:p>
        </w:tc>
        <w:tc>
          <w:tcPr>
            <w:tcW w:type="dxa" w:w="34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Registered partnership deed; firm PAN; authorisation for the signing partner</w:t>
            </w:r>
          </w:p>
        </w:tc>
        <w:tc>
          <w:tcPr>
            <w:tcW w:type="dxa" w:w="38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Deed not updated after a partner changed</w:t>
            </w:r>
          </w:p>
        </w:tc>
      </w:tr>
      <w:tr>
        <w:tc>
          <w:tcPr>
            <w:tcW w:type="dxa" w:w="2400"/>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LLP</w:t>
            </w:r>
          </w:p>
        </w:tc>
        <w:tc>
          <w:tcPr>
            <w:tcW w:type="dxa" w:w="34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Certificate of incorporation; LLP agreement; LLPIN; designated partner authorisation</w:t>
            </w:r>
          </w:p>
        </w:tc>
        <w:tc>
          <w:tcPr>
            <w:tcW w:type="dxa" w:w="38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LLP agreement never filed or not signed</w:t>
            </w:r>
          </w:p>
        </w:tc>
      </w:tr>
      <w:tr>
        <w:tc>
          <w:tcPr>
            <w:tcW w:type="dxa" w:w="2400"/>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Private / Public Ltd</w:t>
            </w:r>
          </w:p>
        </w:tc>
        <w:tc>
          <w:tcPr>
            <w:tcW w:type="dxa" w:w="34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Certificate of incorporation; MoA and AoA; CIN; board resolution authorising the signatory</w:t>
            </w:r>
          </w:p>
        </w:tc>
        <w:tc>
          <w:tcPr>
            <w:tcW w:type="dxa" w:w="38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No board resolution naming the person operating the account</w:t>
            </w:r>
          </w:p>
        </w:tc>
      </w:tr>
      <w:tr>
        <w:tc>
          <w:tcPr>
            <w:tcW w:type="dxa" w:w="2400"/>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Society / Trust</w:t>
            </w:r>
          </w:p>
        </w:tc>
        <w:tc>
          <w:tcPr>
            <w:tcW w:type="dxa" w:w="34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Registration certificate; bye-laws or trust deed; authorisation of signatory</w:t>
            </w:r>
          </w:p>
        </w:tc>
        <w:tc>
          <w:tcPr>
            <w:tcW w:type="dxa" w:w="38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Registered name differs from the name in use</w:t>
            </w:r>
          </w:p>
        </w:tc>
      </w:tr>
    </w:tbl>
    <w:p>
      <w:pPr>
        <w:spacing w:after="120" w:before="260"/>
      </w:pPr>
      <w:r>
        <w:rPr>
          <w:rFonts w:ascii="Calibri" w:cs="Calibri" w:eastAsia="Calibri" w:hAnsi="Calibri"/>
          <w:b/>
          <w:bCs/>
          <w:color w:val="122344"/>
          <w:sz w:val="22"/>
          <w:szCs w:val="22"/>
        </w:rPr>
        <w:t xml:space="preserve">6. Before you go live</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700"/>
        <w:gridCol w:w="4200"/>
        <w:gridCol w:w="1600"/>
        <w:gridCol w:w="3138"/>
      </w:tblGrid>
      <w:tr>
        <w:trPr>
          <w:tblHeader/>
        </w:trPr>
        <w:tc>
          <w:tcPr>
            <w:tcW w:type="dxa" w:w="7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w:t>
            </w:r>
          </w:p>
        </w:tc>
        <w:tc>
          <w:tcPr>
            <w:tcW w:type="dxa" w:w="42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Step</w:t>
            </w:r>
          </w:p>
        </w:tc>
        <w:tc>
          <w:tcPr>
            <w:tcW w:type="dxa" w:w="16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Held? (Y/N)</w:t>
            </w:r>
          </w:p>
        </w:tc>
        <w:tc>
          <w:tcPr>
            <w:tcW w:type="dxa" w:w="31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Notes</w:t>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Profile completeness taken to 100%</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MSME tag verified on the profile, with documents uploaded</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Bank details verified, not merely entered</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Categories and sub-categories reviewed against what you actually sell</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Primary user is a permanent, senior person</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Secondary users created with scoped permissions</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w:t>
            </w:r>
          </w:p>
        </w:tc>
        <w:tc>
          <w:tcPr>
            <w:tcW w:type="dxa" w:w="4200"/>
            <w:tcMar>
              <w:top w:type="dxa" w:w="90"/>
              <w:left w:type="dxa" w:w="120"/>
              <w:bottom w:type="dxa" w:w="90"/>
              <w:right w:type="dxa" w:w="120"/>
            </w:tcMar>
          </w:tcPr>
          <w:p>
            <w:pPr>
              <w:spacing w:after="120" w:before="0"/>
            </w:pPr>
            <w:r>
              <w:rPr>
                <w:rFonts w:ascii="Calibri" w:cs="Calibri" w:eastAsia="Calibri" w:hAnsi="Calibri"/>
                <w:color w:val="122344"/>
                <w:sz w:val="18"/>
                <w:szCs w:val="18"/>
              </w:rPr>
              <w:t xml:space="preserve">Contact email and phone monitored daily</w:t>
            </w:r>
          </w:p>
        </w:tc>
        <w:tc>
          <w:tcPr>
            <w:tcW w:type="dxa" w:w="1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bl>
    <w:p>
      <w:pPr>
        <w:spacing w:after="160"/>
      </w:pPr>
      <w:r>
        <w:rPr>
          <w:sz w:val="12"/>
          <w:szCs w:val="12"/>
        </w:rPr>
        <w:t xml:space="preserve"/>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An Udyam certificate on your desktop is worth nothing</w:t>
            </w:r>
          </w:p>
          <w:p>
            <w:pPr>
              <w:spacing w:after="0" w:before="0"/>
            </w:pPr>
            <w:r>
              <w:rPr>
                <w:rFonts w:ascii="Calibri" w:cs="Calibri" w:eastAsia="Calibri" w:hAnsi="Calibri"/>
                <w:color w:val="43536E"/>
                <w:sz w:val="18"/>
                <w:szCs w:val="18"/>
              </w:rPr>
              <w:t xml:space="preserve">MSME benefits are checked against your verified GeM profile, not against the certificate you hold. If the tag is not verified on the profile, the exemption will not apply at bid time.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E3EE" w:sz="4"/>
      </w:pBdr>
      <w:spacing w:after="0" w:before="80"/>
    </w:pPr>
    <w:r>
      <w:rPr>
        <w:rFonts w:ascii="Calibri" w:cs="Calibri" w:eastAsia="Calibri" w:hAnsi="Calibri"/>
        <w:color w:val="7A879C"/>
        <w:sz w:val="14"/>
        <w:szCs w:val="14"/>
      </w:rPr>
      <w:t xml:space="preserve">Template by TenderBuddy · tenderbuddy.in · An independent consultancy, not affiliated with GeM or the Government of India.</w:t>
    </w:r>
  </w:p>
  <w:p>
    <w:pPr>
      <w:spacing w:before="40"/>
    </w:pPr>
    <w:r>
      <w:rPr>
        <w:rFonts w:ascii="Calibri" w:cs="Calibri" w:eastAsia="Calibri" w:hAnsi="Calibri"/>
        <w:i/>
        <w:iCs/>
        <w:color w:val="7A879C"/>
        <w:sz w:val="14"/>
        <w:szCs w:val="14"/>
      </w:rPr>
      <w:t xml:space="preserve">Adapt the wording to the specific bid before submission. This template is guidance, not legal advice.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caps/>
        <w:color w:val="7A879C"/>
        <w:sz w:val="14"/>
        <w:szCs w:val="14"/>
      </w:rPr>
      <w:t xml:space="preserve">GeM registration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 registration checklist</dc:title>
  <dc:creator>TenderBuddy</dc:creator>
  <dc:description>Fill-ready template from tenderbuddy.in/resources</dc:description>
  <cp:lastModifiedBy>Un-named</cp:lastModifiedBy>
  <cp:revision>1</cp:revision>
  <dcterms:created xsi:type="dcterms:W3CDTF">2026-09-07T10:51:41.148Z</dcterms:created>
  <dcterms:modified xsi:type="dcterms:W3CDTF">2026-09-07T10:51:41.148Z</dcterms:modified>
</cp:coreProperties>
</file>

<file path=docProps/custom.xml><?xml version="1.0" encoding="utf-8"?>
<Properties xmlns="http://schemas.openxmlformats.org/officeDocument/2006/custom-properties" xmlns:vt="http://schemas.openxmlformats.org/officeDocument/2006/docPropsVTypes"/>
</file>