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rFonts w:ascii="Calibri" w:cs="Calibri" w:eastAsia="Calibri" w:hAnsi="Calibri"/>
          <w:b/>
          <w:bCs/>
          <w:color w:val="122344"/>
          <w:sz w:val="30"/>
          <w:szCs w:val="30"/>
        </w:rPr>
        <w:t xml:space="preserve">Pre-Bid Go / No-Go Sheet</w:t>
      </w:r>
    </w:p>
    <w:p>
      <w:pPr>
        <w:spacing w:after="120" w:before="0"/>
      </w:pPr>
      <w:r>
        <w:rPr>
          <w:rFonts w:ascii="Calibri" w:cs="Calibri" w:eastAsia="Calibri" w:hAnsi="Calibri"/>
          <w:b/>
          <w:bCs/>
          <w:color w:val="C4650A"/>
          <w:sz w:val="18"/>
          <w:szCs w:val="18"/>
        </w:rPr>
        <w:t xml:space="preserve">Twelve questions that decide whether a tender is worth your effort</w:t>
      </w:r>
    </w:p>
    <w:p>
      <w:pPr>
        <w:pBdr>
          <w:bottom w:val="single" w:color="F0800E" w:sz="12"/>
        </w:pBdr>
        <w:spacing w:after="200" w:before="60"/>
      </w:pPr>
      <w:r>
        <w:rPr>
          <w:sz w:val="2"/>
          <w:szCs w:val="2"/>
        </w:rPr>
        <w:t xml:space="preserve"/>
      </w:r>
    </w:p>
    <w:p>
      <w:pPr>
        <w:spacing w:after="200" w:before="0"/>
      </w:pPr>
      <w:r>
        <w:rPr>
          <w:rFonts w:ascii="Calibri" w:cs="Calibri" w:eastAsia="Calibri" w:hAnsi="Calibri"/>
          <w:color w:val="43536E"/>
          <w:sz w:val="20"/>
          <w:szCs w:val="20"/>
        </w:rPr>
        <w:t xml:space="preserve">The best return in bid participation is not winning more of the bids you enter — it is entering fewer bids you cannot win. Run this sheet before any drafting work begins.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122344"/>
          <w:sz w:val="22"/>
          <w:szCs w:val="22"/>
        </w:rPr>
        <w:t xml:space="preserve">Bid details</w:t>
      </w:r>
    </w:p>
    <w:p>
      <w:pPr>
        <w:spacing w:after="160" w:before="0"/>
      </w:pPr>
      <w:r>
        <w:rPr>
          <w:rFonts w:ascii="Calibri" w:cs="Calibri" w:eastAsia="Calibri" w:hAnsi="Calibri"/>
          <w:b/>
          <w:bCs/>
          <w:color w:val="122344"/>
          <w:sz w:val="20"/>
          <w:szCs w:val="20"/>
        </w:rPr>
        <w:t xml:space="preserve">Bid / RA number:  </w:t>
      </w:r>
      <w:r>
        <w:rPr>
          <w:rFonts w:ascii="Calibri" w:cs="Calibri" w:eastAsia="Calibri" w:hAnsi="Calibri"/>
          <w:color w:val="7A879C"/>
          <w:sz w:val="20"/>
          <w:szCs w:val="20"/>
        </w:rPr>
        <w:t xml:space="preserve">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/>
          <w:bCs/>
          <w:color w:val="122344"/>
          <w:sz w:val="20"/>
          <w:szCs w:val="20"/>
        </w:rPr>
        <w:t xml:space="preserve">Buyer / Department:  </w:t>
      </w:r>
      <w:r>
        <w:rPr>
          <w:rFonts w:ascii="Calibri" w:cs="Calibri" w:eastAsia="Calibri" w:hAnsi="Calibri"/>
          <w:color w:val="7A879C"/>
          <w:sz w:val="20"/>
          <w:szCs w:val="20"/>
        </w:rPr>
        <w:t xml:space="preserve">____________________________________________________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/>
          <w:bCs/>
          <w:color w:val="122344"/>
          <w:sz w:val="20"/>
          <w:szCs w:val="20"/>
        </w:rPr>
        <w:t xml:space="preserve">Bid closing date:  </w:t>
      </w:r>
      <w:r>
        <w:rPr>
          <w:rFonts w:ascii="Calibri" w:cs="Calibri" w:eastAsia="Calibri" w:hAnsi="Calibri"/>
          <w:color w:val="7A879C"/>
          <w:sz w:val="20"/>
          <w:szCs w:val="20"/>
        </w:rPr>
        <w:t xml:space="preserve">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/>
          <w:bCs/>
          <w:color w:val="122344"/>
          <w:sz w:val="20"/>
          <w:szCs w:val="20"/>
        </w:rPr>
        <w:t xml:space="preserve">Estimated value:  </w:t>
      </w:r>
      <w:r>
        <w:rPr>
          <w:rFonts w:ascii="Calibri" w:cs="Calibri" w:eastAsia="Calibri" w:hAnsi="Calibri"/>
          <w:color w:val="7A879C"/>
          <w:sz w:val="20"/>
          <w:szCs w:val="20"/>
        </w:rPr>
        <w:t xml:space="preserve">__________________________________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122344"/>
          <w:sz w:val="22"/>
          <w:szCs w:val="22"/>
        </w:rPr>
        <w:t xml:space="preserve">The twelve questions</w:t>
      </w:r>
    </w:p>
    <w:tbl>
      <w:tblPr>
        <w:tblW w:type="dxa" w:w="9638"/>
        <w:tblBorders>
          <w:top w:val="single" w:color="DCE3EE" w:sz="4"/>
          <w:left w:val="single" w:color="DCE3EE" w:sz="4"/>
          <w:bottom w:val="single" w:color="DCE3EE" w:sz="4"/>
          <w:right w:val="single" w:color="DCE3EE" w:sz="4"/>
          <w:insideH w:val="single" w:color="DCE3EE" w:sz="4"/>
          <w:insideV w:val="single" w:color="DCE3EE" w:sz="4"/>
        </w:tblBorders>
      </w:tblPr>
      <w:tblGrid>
        <w:gridCol w:w="700"/>
        <w:gridCol w:w="5100"/>
        <w:gridCol w:w="900"/>
        <w:gridCol w:w="900"/>
        <w:gridCol w:w="1938"/>
      </w:tblGrid>
      <w:tr>
        <w:trPr>
          <w:tblHeader/>
        </w:trPr>
        <w:tc>
          <w:tcPr>
            <w:tcW w:type="dxa" w:w="700"/>
            <w:shd w:fill="EDF2F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b/>
                <w:bCs/>
                <w:color w:val="122344"/>
                <w:sz w:val="18"/>
                <w:szCs w:val="18"/>
              </w:rPr>
              <w:t xml:space="preserve">#</w:t>
            </w:r>
          </w:p>
        </w:tc>
        <w:tc>
          <w:tcPr>
            <w:tcW w:type="dxa" w:w="5100"/>
            <w:shd w:fill="EDF2F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b/>
                <w:bCs/>
                <w:color w:val="122344"/>
                <w:sz w:val="18"/>
                <w:szCs w:val="18"/>
              </w:rPr>
              <w:t xml:space="preserve">Question</w:t>
            </w:r>
          </w:p>
        </w:tc>
        <w:tc>
          <w:tcPr>
            <w:tcW w:type="dxa" w:w="900"/>
            <w:shd w:fill="EDF2F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b/>
                <w:bCs/>
                <w:color w:val="122344"/>
                <w:sz w:val="18"/>
                <w:szCs w:val="18"/>
              </w:rPr>
              <w:t xml:space="preserve">Yes</w:t>
            </w:r>
          </w:p>
        </w:tc>
        <w:tc>
          <w:tcPr>
            <w:tcW w:type="dxa" w:w="900"/>
            <w:shd w:fill="EDF2F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b/>
                <w:bCs/>
                <w:color w:val="122344"/>
                <w:sz w:val="18"/>
                <w:szCs w:val="18"/>
              </w:rPr>
              <w:t xml:space="preserve">No</w:t>
            </w:r>
          </w:p>
        </w:tc>
        <w:tc>
          <w:tcPr>
            <w:tcW w:type="dxa" w:w="1938"/>
            <w:shd w:fill="EDF2F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b/>
                <w:bCs/>
                <w:color w:val="122344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dxa" w:w="7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1</w:t>
            </w:r>
          </w:p>
        </w:tc>
        <w:tc>
          <w:tcPr>
            <w:tcW w:type="dxa" w:w="51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22344"/>
                <w:sz w:val="18"/>
                <w:szCs w:val="18"/>
              </w:rPr>
              <w:t xml:space="preserve">Do we meet every eligibility condition in the bid?</w:t>
            </w:r>
            <w:r>
              <w:rPr>
                <w:rFonts w:ascii="Calibri" w:cs="Calibri" w:eastAsia="Calibri" w:hAnsi="Calibri"/>
                <w:b/>
                <w:bCs/>
                <w:color w:val="C4650A"/>
                <w:sz w:val="14"/>
                <w:szCs w:val="14"/>
              </w:rPr>
              <w:t xml:space="preserve">   KNOCKOUT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☐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☐</w:t>
            </w:r>
          </w:p>
        </w:tc>
        <w:tc>
          <w:tcPr>
            <w:tcW w:type="dxa" w:w="19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2</w:t>
            </w:r>
          </w:p>
        </w:tc>
        <w:tc>
          <w:tcPr>
            <w:tcW w:type="dxa" w:w="51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22344"/>
                <w:sz w:val="18"/>
                <w:szCs w:val="18"/>
              </w:rPr>
              <w:t xml:space="preserve">Do we meet the turnover criterion, or hold a valid exemption?</w:t>
            </w:r>
            <w:r>
              <w:rPr>
                <w:rFonts w:ascii="Calibri" w:cs="Calibri" w:eastAsia="Calibri" w:hAnsi="Calibri"/>
                <w:b/>
                <w:bCs/>
                <w:color w:val="C4650A"/>
                <w:sz w:val="14"/>
                <w:szCs w:val="14"/>
              </w:rPr>
              <w:t xml:space="preserve">   KNOCKOUT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☐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☐</w:t>
            </w:r>
          </w:p>
        </w:tc>
        <w:tc>
          <w:tcPr>
            <w:tcW w:type="dxa" w:w="19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3</w:t>
            </w:r>
          </w:p>
        </w:tc>
        <w:tc>
          <w:tcPr>
            <w:tcW w:type="dxa" w:w="51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22344"/>
                <w:sz w:val="18"/>
                <w:szCs w:val="18"/>
              </w:rPr>
              <w:t xml:space="preserve">Do we meet the experience criterion, or hold a valid exemption?</w:t>
            </w:r>
            <w:r>
              <w:rPr>
                <w:rFonts w:ascii="Calibri" w:cs="Calibri" w:eastAsia="Calibri" w:hAnsi="Calibri"/>
                <w:b/>
                <w:bCs/>
                <w:color w:val="C4650A"/>
                <w:sz w:val="14"/>
                <w:szCs w:val="14"/>
              </w:rPr>
              <w:t xml:space="preserve">   KNOCKOUT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☐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☐</w:t>
            </w:r>
          </w:p>
        </w:tc>
        <w:tc>
          <w:tcPr>
            <w:tcW w:type="dxa" w:w="19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4</w:t>
            </w:r>
          </w:p>
        </w:tc>
        <w:tc>
          <w:tcPr>
            <w:tcW w:type="dxa" w:w="51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22344"/>
                <w:sz w:val="18"/>
                <w:szCs w:val="18"/>
              </w:rPr>
              <w:t xml:space="preserve">Is our product / service listed in the correct category?</w:t>
            </w:r>
            <w:r>
              <w:rPr>
                <w:rFonts w:ascii="Calibri" w:cs="Calibri" w:eastAsia="Calibri" w:hAnsi="Calibri"/>
                <w:b/>
                <w:bCs/>
                <w:color w:val="C4650A"/>
                <w:sz w:val="14"/>
                <w:szCs w:val="14"/>
              </w:rPr>
              <w:t xml:space="preserve">   KNOCKOUT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☐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☐</w:t>
            </w:r>
          </w:p>
        </w:tc>
        <w:tc>
          <w:tcPr>
            <w:tcW w:type="dxa" w:w="19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5</w:t>
            </w:r>
          </w:p>
        </w:tc>
        <w:tc>
          <w:tcPr>
            <w:tcW w:type="dxa" w:w="51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22344"/>
                <w:sz w:val="18"/>
                <w:szCs w:val="18"/>
              </w:rPr>
              <w:t xml:space="preserve">Can we meet the delivery timeline exactly as written?</w:t>
            </w:r>
            <w:r>
              <w:rPr>
                <w:rFonts w:ascii="Calibri" w:cs="Calibri" w:eastAsia="Calibri" w:hAnsi="Calibri"/>
                <w:b/>
                <w:bCs/>
                <w:color w:val="C4650A"/>
                <w:sz w:val="14"/>
                <w:szCs w:val="14"/>
              </w:rPr>
              <w:t xml:space="preserve">   KNOCKOUT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☐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☐</w:t>
            </w:r>
          </w:p>
        </w:tc>
        <w:tc>
          <w:tcPr>
            <w:tcW w:type="dxa" w:w="19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6</w:t>
            </w:r>
          </w:p>
        </w:tc>
        <w:tc>
          <w:tcPr>
            <w:tcW w:type="dxa" w:w="51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22344"/>
                <w:sz w:val="18"/>
                <w:szCs w:val="18"/>
              </w:rPr>
              <w:t xml:space="preserve">Do we hold, today, every document the ATC requires?</w:t>
            </w:r>
            <w:r>
              <w:rPr>
                <w:rFonts w:ascii="Calibri" w:cs="Calibri" w:eastAsia="Calibri" w:hAnsi="Calibri"/>
                <w:b/>
                <w:bCs/>
                <w:color w:val="C4650A"/>
                <w:sz w:val="14"/>
                <w:szCs w:val="14"/>
              </w:rPr>
              <w:t xml:space="preserve">   KNOCKOUT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☐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☐</w:t>
            </w:r>
          </w:p>
        </w:tc>
        <w:tc>
          <w:tcPr>
            <w:tcW w:type="dxa" w:w="19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7</w:t>
            </w:r>
          </w:p>
        </w:tc>
        <w:tc>
          <w:tcPr>
            <w:tcW w:type="dxa" w:w="51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22344"/>
                <w:sz w:val="18"/>
                <w:szCs w:val="18"/>
              </w:rPr>
              <w:t xml:space="preserve">Can we furnish the EMD, or do we qualify for exemption?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☐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☐</w:t>
            </w:r>
          </w:p>
        </w:tc>
        <w:tc>
          <w:tcPr>
            <w:tcW w:type="dxa" w:w="19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8</w:t>
            </w:r>
          </w:p>
        </w:tc>
        <w:tc>
          <w:tcPr>
            <w:tcW w:type="dxa" w:w="51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22344"/>
                <w:sz w:val="18"/>
                <w:szCs w:val="18"/>
              </w:rPr>
              <w:t xml:space="preserve">Can we furnish the ePBG for the full validity period?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☐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☐</w:t>
            </w:r>
          </w:p>
        </w:tc>
        <w:tc>
          <w:tcPr>
            <w:tcW w:type="dxa" w:w="19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9</w:t>
            </w:r>
          </w:p>
        </w:tc>
        <w:tc>
          <w:tcPr>
            <w:tcW w:type="dxa" w:w="51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22344"/>
                <w:sz w:val="18"/>
                <w:szCs w:val="18"/>
              </w:rPr>
              <w:t xml:space="preserve">Does our local content position work in this category?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☐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☐</w:t>
            </w:r>
          </w:p>
        </w:tc>
        <w:tc>
          <w:tcPr>
            <w:tcW w:type="dxa" w:w="19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10</w:t>
            </w:r>
          </w:p>
        </w:tc>
        <w:tc>
          <w:tcPr>
            <w:tcW w:type="dxa" w:w="51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22344"/>
                <w:sz w:val="18"/>
                <w:szCs w:val="18"/>
              </w:rPr>
              <w:t xml:space="preserve">Is the price we would need to win one we can deliver at?</w:t>
            </w:r>
            <w:r>
              <w:rPr>
                <w:rFonts w:ascii="Calibri" w:cs="Calibri" w:eastAsia="Calibri" w:hAnsi="Calibri"/>
                <w:b/>
                <w:bCs/>
                <w:color w:val="C4650A"/>
                <w:sz w:val="14"/>
                <w:szCs w:val="14"/>
              </w:rPr>
              <w:t xml:space="preserve">   KNOCKOUT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☐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☐</w:t>
            </w:r>
          </w:p>
        </w:tc>
        <w:tc>
          <w:tcPr>
            <w:tcW w:type="dxa" w:w="19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11</w:t>
            </w:r>
          </w:p>
        </w:tc>
        <w:tc>
          <w:tcPr>
            <w:tcW w:type="dxa" w:w="51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22344"/>
                <w:sz w:val="18"/>
                <w:szCs w:val="18"/>
              </w:rPr>
              <w:t xml:space="preserve">Are there any open incidents on our seller account?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☐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☐</w:t>
            </w:r>
          </w:p>
        </w:tc>
        <w:tc>
          <w:tcPr>
            <w:tcW w:type="dxa" w:w="19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12</w:t>
            </w:r>
          </w:p>
        </w:tc>
        <w:tc>
          <w:tcPr>
            <w:tcW w:type="dxa" w:w="51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122344"/>
                <w:sz w:val="18"/>
                <w:szCs w:val="18"/>
              </w:rPr>
              <w:t xml:space="preserve">Do we have the internal capacity to execute if we win?</w:t>
            </w:r>
            <w:r>
              <w:rPr>
                <w:rFonts w:ascii="Calibri" w:cs="Calibri" w:eastAsia="Calibri" w:hAnsi="Calibri"/>
                <w:b/>
                <w:bCs/>
                <w:color w:val="C4650A"/>
                <w:sz w:val="14"/>
                <w:szCs w:val="14"/>
              </w:rPr>
              <w:t xml:space="preserve">   KNOCKOUT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☐</w:t>
            </w:r>
          </w:p>
        </w:tc>
        <w:tc>
          <w:tcPr>
            <w:tcW w:type="dxa" w:w="9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☐</w:t>
            </w:r>
          </w:p>
        </w:tc>
        <w:tc>
          <w:tcPr>
            <w:tcW w:type="dxa" w:w="1938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12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sz w:val="12"/>
          <w:szCs w:val="12"/>
        </w:rPr>
        <w:t xml:space="preserve"/>
      </w:r>
    </w:p>
    <w:tbl>
      <w:tblPr>
        <w:tblW w:type="dxa" w:w="9638"/>
        <w:tblBorders>
          <w:top w:val="single" w:color="F0800E" w:sz="4"/>
          <w:left w:val="single" w:color="F0800E" w:sz="4"/>
          <w:bottom w:val="single" w:color="F0800E" w:sz="4"/>
          <w:right w:val="single" w:color="F0800E" w:sz="4"/>
          <w:insideH w:val="none" w:color="FFFFFF" w:sz="0"/>
          <w:insideV w:val="none" w:color="FFFFFF" w:sz="0"/>
        </w:tblBorders>
      </w:tblPr>
      <w:tblGrid>
        <w:gridCol w:w="9638"/>
      </w:tblGrid>
      <w:tr>
        <w:tc>
          <w:tcPr>
            <w:tcW w:type="dxa" w:w="9638"/>
            <w:shd w:fill="FDF3E8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60" w:before="0"/>
            </w:pPr>
            <w:r>
              <w:rPr>
                <w:rFonts w:ascii="Calibri" w:cs="Calibri" w:eastAsia="Calibri" w:hAnsi="Calibri"/>
                <w:b/>
                <w:bCs/>
                <w:color w:val="C4650A"/>
                <w:sz w:val="18"/>
                <w:szCs w:val="18"/>
              </w:rPr>
              <w:t xml:space="preserve">How to read the answers</w:t>
            </w:r>
          </w:p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43536E"/>
                <w:sz w:val="18"/>
                <w:szCs w:val="18"/>
              </w:rPr>
              <w:t xml:space="preserve">A "No" on any question marked KNOCKOUT is a no-bid. Not a challenge to be argued around — a no-bid. The remaining questions are judgement calls: two or more concerns among them usually means the effort is better spent on a different tender.</w:t>
            </w:r>
          </w:p>
        </w:tc>
      </w:tr>
    </w:tbl>
    <w:p>
      <w:pPr>
        <w:spacing w:after="120" w:before="260"/>
      </w:pPr>
      <w:r>
        <w:rPr>
          <w:rFonts w:ascii="Calibri" w:cs="Calibri" w:eastAsia="Calibri" w:hAnsi="Calibri"/>
          <w:b/>
          <w:bCs/>
          <w:color w:val="122344"/>
          <w:sz w:val="22"/>
          <w:szCs w:val="22"/>
        </w:rPr>
        <w:t xml:space="preserve">Decision</w:t>
      </w:r>
    </w:p>
    <w:p>
      <w:pPr>
        <w:spacing w:after="100" w:before="0"/>
      </w:pPr>
      <w:r>
        <w:rPr>
          <w:rFonts w:ascii="Calibri" w:cs="Calibri" w:eastAsia="Calibri" w:hAnsi="Calibri"/>
          <w:b/>
          <w:bCs/>
          <w:color w:val="122344"/>
          <w:sz w:val="20"/>
          <w:szCs w:val="20"/>
        </w:rPr>
        <w:t xml:space="preserve">☐   GO — proceed to document preparation</w:t>
      </w:r>
    </w:p>
    <w:p>
      <w:pPr>
        <w:spacing w:after="160" w:before="0"/>
      </w:pPr>
      <w:r>
        <w:rPr>
          <w:rFonts w:ascii="Calibri" w:cs="Calibri" w:eastAsia="Calibri" w:hAnsi="Calibri"/>
          <w:b/>
          <w:bCs/>
          <w:color w:val="122344"/>
          <w:sz w:val="20"/>
          <w:szCs w:val="20"/>
        </w:rPr>
        <w:t xml:space="preserve">☐   NO-GO — record the reason and move on</w:t>
      </w:r>
    </w:p>
    <w:p>
      <w:pPr>
        <w:spacing w:after="160" w:before="0"/>
      </w:pPr>
      <w:r>
        <w:rPr>
          <w:rFonts w:ascii="Calibri" w:cs="Calibri" w:eastAsia="Calibri" w:hAnsi="Calibri"/>
          <w:b/>
          <w:bCs/>
          <w:color w:val="122344"/>
          <w:sz w:val="20"/>
          <w:szCs w:val="20"/>
        </w:rPr>
        <w:t xml:space="preserve">Reason:  </w:t>
      </w:r>
      <w:r>
        <w:rPr>
          <w:rFonts w:ascii="Calibri" w:cs="Calibri" w:eastAsia="Calibri" w:hAnsi="Calibri"/>
          <w:color w:val="7A879C"/>
          <w:sz w:val="20"/>
          <w:szCs w:val="20"/>
        </w:rPr>
        <w:t xml:space="preserve">__________________________________________________________________________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/>
          <w:bCs/>
          <w:color w:val="122344"/>
          <w:sz w:val="20"/>
          <w:szCs w:val="20"/>
        </w:rPr>
        <w:t xml:space="preserve">Decided by:  </w:t>
      </w:r>
      <w:r>
        <w:rPr>
          <w:rFonts w:ascii="Calibri" w:cs="Calibri" w:eastAsia="Calibri" w:hAnsi="Calibri"/>
          <w:color w:val="7A879C"/>
          <w:sz w:val="20"/>
          <w:szCs w:val="20"/>
        </w:rPr>
        <w:t xml:space="preserve">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/>
          <w:bCs/>
          <w:color w:val="122344"/>
          <w:sz w:val="20"/>
          <w:szCs w:val="20"/>
        </w:rPr>
        <w:t xml:space="preserve">Date:  </w:t>
      </w:r>
      <w:r>
        <w:rPr>
          <w:rFonts w:ascii="Calibri" w:cs="Calibri" w:eastAsia="Calibri" w:hAnsi="Calibri"/>
          <w:color w:val="7A879C"/>
          <w:sz w:val="20"/>
          <w:szCs w:val="20"/>
        </w:rPr>
        <w:t xml:space="preserve">__________________________</w:t>
      </w:r>
    </w:p>
    <w:p>
      <w:pPr>
        <w:spacing w:after="120" w:before="260"/>
      </w:pPr>
      <w:r>
        <w:rPr>
          <w:rFonts w:ascii="Calibri" w:cs="Calibri" w:eastAsia="Calibri" w:hAnsi="Calibri"/>
          <w:b/>
          <w:bCs/>
          <w:color w:val="122344"/>
          <w:sz w:val="22"/>
          <w:szCs w:val="22"/>
        </w:rPr>
        <w:t xml:space="preserve">After the outcome — close the loop</w:t>
      </w:r>
    </w:p>
    <w:p>
      <w:pPr>
        <w:spacing w:after="160" w:before="0"/>
      </w:pPr>
      <w:r>
        <w:rPr>
          <w:rFonts w:ascii="Calibri" w:cs="Calibri" w:eastAsia="Calibri" w:hAnsi="Calibri"/>
          <w:color w:val="43536E"/>
          <w:sz w:val="20"/>
          <w:szCs w:val="20"/>
        </w:rPr>
        <w:t xml:space="preserve">Record what actually happened. Twenty of these sheets will tell you whether your losses are an eligibility-screening problem, a pricing problem, a documentation problem or a monitoring problem — and each has a different fix.</w:t>
      </w:r>
    </w:p>
    <w:p>
      <w:pPr>
        <w:spacing w:after="160" w:before="0"/>
      </w:pPr>
      <w:r>
        <w:rPr>
          <w:rFonts w:ascii="Calibri" w:cs="Calibri" w:eastAsia="Calibri" w:hAnsi="Calibri"/>
          <w:b/>
          <w:bCs/>
          <w:color w:val="122344"/>
          <w:sz w:val="20"/>
          <w:szCs w:val="20"/>
        </w:rPr>
        <w:t xml:space="preserve">Outcome:  </w:t>
      </w:r>
      <w:r>
        <w:rPr>
          <w:rFonts w:ascii="Calibri" w:cs="Calibri" w:eastAsia="Calibri" w:hAnsi="Calibri"/>
          <w:color w:val="7A879C"/>
          <w:sz w:val="20"/>
          <w:szCs w:val="20"/>
        </w:rPr>
        <w:t xml:space="preserve">________________________________________</w:t>
      </w:r>
    </w:p>
    <w:p>
      <w:pPr>
        <w:spacing w:after="160" w:before="0"/>
      </w:pPr>
      <w:r>
        <w:rPr>
          <w:rFonts w:ascii="Calibri" w:cs="Calibri" w:eastAsia="Calibri" w:hAnsi="Calibri"/>
          <w:b/>
          <w:bCs/>
          <w:color w:val="122344"/>
          <w:sz w:val="20"/>
          <w:szCs w:val="20"/>
        </w:rPr>
        <w:t xml:space="preserve">If lost, the stated ground:  </w:t>
      </w:r>
      <w:r>
        <w:rPr>
          <w:rFonts w:ascii="Calibri" w:cs="Calibri" w:eastAsia="Calibri" w:hAnsi="Calibri"/>
          <w:color w:val="7A879C"/>
          <w:sz w:val="20"/>
          <w:szCs w:val="20"/>
        </w:rPr>
        <w:t xml:space="preserve">________________________________________________________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CE3EE" w:sz="4"/>
      </w:pBdr>
      <w:spacing w:after="0" w:before="80"/>
    </w:pPr>
    <w:r>
      <w:rPr>
        <w:rFonts w:ascii="Calibri" w:cs="Calibri" w:eastAsia="Calibri" w:hAnsi="Calibri"/>
        <w:color w:val="7A879C"/>
        <w:sz w:val="14"/>
        <w:szCs w:val="14"/>
      </w:rPr>
      <w:t xml:space="preserve">Template by TenderBuddy · tenderbuddy.in · An independent consultancy, not affiliated with GeM or the Government of India.</w:t>
    </w:r>
  </w:p>
  <w:p>
    <w:pPr>
      <w:spacing w:before="40"/>
    </w:pPr>
    <w:r>
      <w:rPr>
        <w:rFonts w:ascii="Calibri" w:cs="Calibri" w:eastAsia="Calibri" w:hAnsi="Calibri"/>
        <w:i/>
        <w:iCs/>
        <w:color w:val="7A879C"/>
        <w:sz w:val="14"/>
        <w:szCs w:val="14"/>
      </w:rPr>
      <w:t xml:space="preserve">Adapt the wording to the specific bid before submission. This template is guidance, not legal advice.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Calibri" w:cs="Calibri" w:eastAsia="Calibri" w:hAnsi="Calibri"/>
        <w:caps/>
        <w:color w:val="7A879C"/>
        <w:sz w:val="14"/>
        <w:szCs w:val="14"/>
      </w:rPr>
      <w:t xml:space="preserve">Pre-bid go / no-go sheet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Pre-bid go / no-go sheet</dc:title>
  <dc:creator>TenderBuddy</dc:creator>
  <dc:description>Fill-ready template from tenderbuddy.in/resources</dc:description>
  <cp:lastModifiedBy>Un-named</cp:lastModifiedBy>
  <cp:revision>1</cp:revision>
  <dcterms:created xsi:type="dcterms:W3CDTF">2026-09-07T10:51:41.178Z</dcterms:created>
  <dcterms:modified xsi:type="dcterms:W3CDTF">2026-09-07T10:51:41.178Z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